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ED9D3" w14:textId="41D0E994" w:rsidR="007D7417" w:rsidRPr="00693D52" w:rsidRDefault="007956B2" w:rsidP="00CC4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47A9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47A9" w:rsidRPr="00693D52">
        <w:rPr>
          <w:rFonts w:ascii="Times New Roman" w:eastAsia="Times New Roman" w:hAnsi="Times New Roman" w:cs="Times New Roman"/>
          <w:bCs/>
          <w:sz w:val="20"/>
          <w:szCs w:val="20"/>
        </w:rPr>
        <w:t>Patvirtinta:</w:t>
      </w:r>
    </w:p>
    <w:p w14:paraId="76375C8D" w14:textId="79AD0FD5" w:rsidR="007D7417" w:rsidRPr="00693D52" w:rsidRDefault="00693D52" w:rsidP="00693D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3D52">
        <w:rPr>
          <w:rFonts w:ascii="Times New Roman" w:eastAsia="Times New Roman" w:hAnsi="Times New Roman" w:cs="Times New Roman"/>
          <w:bCs/>
          <w:sz w:val="20"/>
          <w:szCs w:val="20"/>
        </w:rPr>
        <w:t>VDA</w:t>
      </w:r>
      <w:r w:rsidR="007D7417" w:rsidRPr="00693D5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C47A9" w:rsidRPr="00693D52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="007D7417" w:rsidRPr="00693D52">
        <w:rPr>
          <w:rFonts w:ascii="Times New Roman" w:eastAsia="Times New Roman" w:hAnsi="Times New Roman" w:cs="Times New Roman"/>
          <w:bCs/>
          <w:sz w:val="20"/>
          <w:szCs w:val="20"/>
        </w:rPr>
        <w:t xml:space="preserve">arybos 2022 m. </w:t>
      </w:r>
      <w:r w:rsidRPr="00693D52">
        <w:rPr>
          <w:rFonts w:ascii="Times New Roman" w:eastAsia="Times New Roman" w:hAnsi="Times New Roman" w:cs="Times New Roman"/>
          <w:bCs/>
          <w:sz w:val="20"/>
          <w:szCs w:val="20"/>
        </w:rPr>
        <w:t>gegužės 5</w:t>
      </w:r>
      <w:r w:rsidR="007D7417" w:rsidRPr="00693D52">
        <w:rPr>
          <w:rFonts w:ascii="Times New Roman" w:eastAsia="Times New Roman" w:hAnsi="Times New Roman" w:cs="Times New Roman"/>
          <w:bCs/>
          <w:sz w:val="20"/>
          <w:szCs w:val="20"/>
        </w:rPr>
        <w:t xml:space="preserve"> d. </w:t>
      </w:r>
    </w:p>
    <w:p w14:paraId="44E68B7A" w14:textId="55F6648D" w:rsidR="007D7417" w:rsidRPr="00693D52" w:rsidRDefault="00CC47A9" w:rsidP="00CC47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3D52">
        <w:rPr>
          <w:rFonts w:ascii="Times New Roman" w:eastAsia="Times New Roman" w:hAnsi="Times New Roman" w:cs="Times New Roman"/>
          <w:bCs/>
          <w:sz w:val="20"/>
          <w:szCs w:val="20"/>
        </w:rPr>
        <w:t>nutarimu</w:t>
      </w:r>
      <w:r w:rsidR="007D7417" w:rsidRPr="00693D52">
        <w:rPr>
          <w:rFonts w:ascii="Times New Roman" w:eastAsia="Times New Roman" w:hAnsi="Times New Roman" w:cs="Times New Roman"/>
          <w:bCs/>
          <w:sz w:val="20"/>
          <w:szCs w:val="20"/>
        </w:rPr>
        <w:t xml:space="preserve"> Nr. </w:t>
      </w:r>
      <w:r w:rsidRPr="00693D52">
        <w:rPr>
          <w:rFonts w:ascii="Times New Roman" w:eastAsia="Times New Roman" w:hAnsi="Times New Roman" w:cs="Times New Roman"/>
          <w:bCs/>
          <w:sz w:val="20"/>
          <w:szCs w:val="20"/>
        </w:rPr>
        <w:t>T-2022-</w:t>
      </w:r>
      <w:r w:rsidR="00693D52" w:rsidRPr="00693D52">
        <w:rPr>
          <w:rFonts w:ascii="Times New Roman" w:eastAsia="Times New Roman" w:hAnsi="Times New Roman" w:cs="Times New Roman"/>
          <w:bCs/>
          <w:sz w:val="20"/>
          <w:szCs w:val="20"/>
        </w:rPr>
        <w:t>3/7</w:t>
      </w:r>
    </w:p>
    <w:p w14:paraId="5B81A3B5" w14:textId="77777777" w:rsidR="007956B2" w:rsidRPr="00693D52" w:rsidRDefault="007956B2" w:rsidP="00CC47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0C2F0D15" w14:textId="77777777" w:rsidR="00693D52" w:rsidRDefault="007956B2" w:rsidP="00CC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/>
          <w:sz w:val="24"/>
          <w:szCs w:val="24"/>
        </w:rPr>
        <w:t xml:space="preserve">VILNIAUS DAILĖS </w:t>
      </w:r>
      <w:r w:rsidR="00693D52">
        <w:rPr>
          <w:rFonts w:ascii="Times New Roman" w:eastAsia="Times New Roman" w:hAnsi="Times New Roman" w:cs="Times New Roman"/>
          <w:b/>
          <w:sz w:val="24"/>
          <w:szCs w:val="24"/>
        </w:rPr>
        <w:t>AKADEMIJOS STUDENTŲ BENDRABUČIO</w:t>
      </w:r>
    </w:p>
    <w:p w14:paraId="4BB98DDA" w14:textId="77777777" w:rsidR="00693D52" w:rsidRDefault="007956B2" w:rsidP="00CC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/>
          <w:sz w:val="24"/>
          <w:szCs w:val="24"/>
        </w:rPr>
        <w:t xml:space="preserve">(LATAKO G. 2, VILNIUS) ĮKAINIŲ </w:t>
      </w:r>
      <w:r w:rsidR="00504A13" w:rsidRPr="00693D52">
        <w:rPr>
          <w:rFonts w:ascii="Times New Roman" w:eastAsia="Times New Roman" w:hAnsi="Times New Roman" w:cs="Times New Roman"/>
          <w:b/>
          <w:sz w:val="24"/>
          <w:szCs w:val="24"/>
        </w:rPr>
        <w:t>STUDENTAMS IR KITIEMS SU STUDIJŲ VILNIAUS DAILĖS AKADEMIJOJE PROCESU SUSIJUSIEMS ASMENIMS</w:t>
      </w:r>
    </w:p>
    <w:p w14:paraId="17722F2C" w14:textId="2883C18F" w:rsidR="007956B2" w:rsidRPr="00693D52" w:rsidRDefault="007956B2" w:rsidP="00CC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/>
          <w:sz w:val="24"/>
          <w:szCs w:val="24"/>
        </w:rPr>
        <w:t>APRAŠAS</w:t>
      </w:r>
    </w:p>
    <w:p w14:paraId="12886B5A" w14:textId="77777777" w:rsidR="007956B2" w:rsidRPr="00693D52" w:rsidRDefault="007956B2" w:rsidP="00CC4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8B104C" w14:textId="77777777" w:rsidR="004C4E96" w:rsidRPr="00693D52" w:rsidRDefault="004C4E96" w:rsidP="00CC47A9">
      <w:pPr>
        <w:pStyle w:val="ListParagraph"/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Vilniaus dailės akademijos studentų bendrabučio (Latako g, 2, Vilnius) įkainių studentams ir kitiems su studijų Vilniaus dailės akademijoje procesu susijusiems asmenims aprašas </w:t>
      </w:r>
      <w:r w:rsidR="00D34171" w:rsidRPr="00693D52">
        <w:rPr>
          <w:rFonts w:ascii="Times New Roman" w:eastAsia="Times New Roman" w:hAnsi="Times New Roman" w:cs="Times New Roman"/>
          <w:bCs/>
          <w:sz w:val="24"/>
          <w:szCs w:val="24"/>
        </w:rPr>
        <w:t>(toliau –</w:t>
      </w:r>
      <w:r w:rsidR="00FF1A80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D34171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prašas)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nustato įkainius už vietą </w:t>
      </w:r>
      <w:r w:rsidR="00722BBD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Vilniaus dailės akademijos (toliau – VDA) studentų bendrabutyje (Latako g. 2, Vilnius) (toliau –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722BBD" w:rsidRPr="00693D52">
        <w:rPr>
          <w:rFonts w:ascii="Times New Roman" w:eastAsia="Times New Roman" w:hAnsi="Times New Roman" w:cs="Times New Roman"/>
          <w:bCs/>
          <w:sz w:val="24"/>
          <w:szCs w:val="24"/>
        </w:rPr>
        <w:t>endrabutis)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ir kitus su gyvenimu bendrabutyje susijusius įkainius studentams ir kitiems su studijų </w:t>
      </w:r>
      <w:r w:rsidR="00722BBD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VDA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procesu susijusiems asmenims.</w:t>
      </w:r>
    </w:p>
    <w:p w14:paraId="6FFCFAB7" w14:textId="77777777" w:rsidR="002A195E" w:rsidRPr="00693D52" w:rsidRDefault="0090270C" w:rsidP="00CC47A9">
      <w:pPr>
        <w:pStyle w:val="ListParagraph"/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Įkainiai u</w:t>
      </w:r>
      <w:r w:rsidR="007956B2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ž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vietą </w:t>
      </w:r>
      <w:r w:rsidR="00722BBD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bendrabučio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kambaryje nurodyti 1, 2 ir 3 lentelėse</w:t>
      </w:r>
      <w:r w:rsidR="00D129BE" w:rsidRPr="00693D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72B26C8" w14:textId="77777777" w:rsidR="00954BD2" w:rsidRPr="00693D52" w:rsidRDefault="00684BBE" w:rsidP="00CC47A9">
      <w:pPr>
        <w:pStyle w:val="ListParagraph"/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Įkainius už vietą bendrabučio kambaryje </w:t>
      </w:r>
      <w:r w:rsidR="00373917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detalizuojančios </w:t>
      </w:r>
      <w:r w:rsidR="002A195E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nuostatos: </w:t>
      </w:r>
    </w:p>
    <w:p w14:paraId="2D7B9A81" w14:textId="2CA8C0ED" w:rsidR="002A195E" w:rsidRPr="00693D52" w:rsidRDefault="00954BD2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Įkainis parai taikomas, kai </w:t>
      </w:r>
      <w:r w:rsidR="008D6499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bendrabutyje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apsistojama i</w:t>
      </w:r>
      <w:r w:rsidR="008D6499" w:rsidRPr="00693D52">
        <w:rPr>
          <w:rFonts w:ascii="Times New Roman" w:eastAsia="Times New Roman" w:hAnsi="Times New Roman" w:cs="Times New Roman"/>
          <w:bCs/>
          <w:sz w:val="24"/>
          <w:szCs w:val="24"/>
        </w:rPr>
        <w:t>ki mėnesio trukmės laikotarpiui; įkainis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mėnesiui </w:t>
      </w:r>
      <w:r w:rsidR="008D6499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taikomas,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kai </w:t>
      </w:r>
      <w:r w:rsidR="008D6499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bendrabutyje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E562E" w:rsidRPr="00693D52">
        <w:rPr>
          <w:rFonts w:ascii="Times New Roman" w:eastAsia="Times New Roman" w:hAnsi="Times New Roman" w:cs="Times New Roman"/>
          <w:bCs/>
          <w:sz w:val="24"/>
          <w:szCs w:val="24"/>
        </w:rPr>
        <w:t>psistojama ilg</w:t>
      </w:r>
      <w:r w:rsidR="008115BE" w:rsidRPr="00693D52">
        <w:rPr>
          <w:rFonts w:ascii="Times New Roman" w:eastAsia="Times New Roman" w:hAnsi="Times New Roman" w:cs="Times New Roman"/>
          <w:bCs/>
          <w:sz w:val="24"/>
          <w:szCs w:val="24"/>
        </w:rPr>
        <w:t>esniam</w:t>
      </w:r>
      <w:r w:rsidR="007E562E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kaip mėnesio trukmės laikotarpiui</w:t>
      </w:r>
      <w:r w:rsidR="008D6499" w:rsidRPr="00693D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E30427" w14:textId="3A62D595" w:rsidR="007D4187" w:rsidRPr="00693D52" w:rsidRDefault="007D4FA3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hAnsi="Times New Roman" w:cs="Times New Roman"/>
          <w:sz w:val="24"/>
          <w:szCs w:val="24"/>
        </w:rPr>
        <w:t>J</w:t>
      </w:r>
      <w:r w:rsidR="002A195E" w:rsidRPr="00693D52">
        <w:rPr>
          <w:rFonts w:ascii="Times New Roman" w:hAnsi="Times New Roman" w:cs="Times New Roman"/>
          <w:sz w:val="24"/>
          <w:szCs w:val="24"/>
        </w:rPr>
        <w:t xml:space="preserve">eigu vienviečiame kambaryje pageidaujama </w:t>
      </w:r>
      <w:r w:rsidR="003D16A7" w:rsidRPr="00693D52">
        <w:rPr>
          <w:rFonts w:ascii="Times New Roman" w:hAnsi="Times New Roman" w:cs="Times New Roman"/>
          <w:sz w:val="24"/>
          <w:szCs w:val="24"/>
        </w:rPr>
        <w:t xml:space="preserve">apsistoti </w:t>
      </w:r>
      <w:r w:rsidR="002A195E" w:rsidRPr="00693D52">
        <w:rPr>
          <w:rFonts w:ascii="Times New Roman" w:hAnsi="Times New Roman" w:cs="Times New Roman"/>
          <w:sz w:val="24"/>
          <w:szCs w:val="24"/>
        </w:rPr>
        <w:t xml:space="preserve">dviese — už antrą </w:t>
      </w:r>
      <w:r w:rsidR="00373917" w:rsidRPr="00693D52">
        <w:rPr>
          <w:rFonts w:ascii="Times New Roman" w:hAnsi="Times New Roman" w:cs="Times New Roman"/>
          <w:sz w:val="24"/>
          <w:szCs w:val="24"/>
        </w:rPr>
        <w:t xml:space="preserve">tokiame </w:t>
      </w:r>
      <w:r w:rsidR="002A195E" w:rsidRPr="00693D52">
        <w:rPr>
          <w:rFonts w:ascii="Times New Roman" w:hAnsi="Times New Roman" w:cs="Times New Roman"/>
          <w:sz w:val="24"/>
          <w:szCs w:val="24"/>
        </w:rPr>
        <w:t xml:space="preserve">kambaryje apsistojantį asmenį mokama </w:t>
      </w:r>
      <w:r w:rsidR="00373917" w:rsidRPr="00693D52">
        <w:rPr>
          <w:rFonts w:ascii="Times New Roman" w:hAnsi="Times New Roman" w:cs="Times New Roman"/>
          <w:sz w:val="24"/>
          <w:szCs w:val="24"/>
        </w:rPr>
        <w:t>5 eurai</w:t>
      </w:r>
      <w:r w:rsidR="00AB6FC9" w:rsidRPr="00693D52">
        <w:rPr>
          <w:rFonts w:ascii="Times New Roman" w:hAnsi="Times New Roman" w:cs="Times New Roman"/>
          <w:sz w:val="24"/>
          <w:szCs w:val="24"/>
        </w:rPr>
        <w:t xml:space="preserve"> parai</w:t>
      </w:r>
      <w:r w:rsidR="002A195E" w:rsidRPr="00693D52">
        <w:rPr>
          <w:rFonts w:ascii="Times New Roman" w:hAnsi="Times New Roman" w:cs="Times New Roman"/>
          <w:sz w:val="24"/>
          <w:szCs w:val="24"/>
        </w:rPr>
        <w:t>.</w:t>
      </w:r>
    </w:p>
    <w:p w14:paraId="15233C57" w14:textId="6A77800A" w:rsidR="007D4187" w:rsidRPr="00693D52" w:rsidRDefault="007D4187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Esant galimybei, asmuo ar asmenys pageidaujantys gyventi po vieną ar dviese didesniame nei priklauso kambaryje, gali būti apgyvendinami, jeigu sutinka apmokėti viso kambario kainą.</w:t>
      </w:r>
    </w:p>
    <w:p w14:paraId="03CE85F0" w14:textId="77777777" w:rsidR="00707252" w:rsidRPr="00693D52" w:rsidRDefault="00707252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Bendrabutyje apsistojant nuo 11 iki 20 parų taikoma 10 procentų nuolaida, apsistojant nuo 21 iki 30 parų – 20 procentų nuolaida.</w:t>
      </w:r>
      <w:r w:rsidR="00E236B9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4F501BC" w14:textId="1244565C" w:rsidR="007956B2" w:rsidRPr="00693D52" w:rsidRDefault="00F31BF8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Pas</w:t>
      </w:r>
      <w:r w:rsidR="007956B2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studentus </w:t>
      </w:r>
      <w:r w:rsidR="007956B2" w:rsidRPr="00693D52">
        <w:rPr>
          <w:rFonts w:ascii="Times New Roman" w:eastAsia="Times New Roman" w:hAnsi="Times New Roman" w:cs="Times New Roman"/>
          <w:bCs/>
          <w:sz w:val="24"/>
          <w:szCs w:val="24"/>
        </w:rPr>
        <w:t>atvykę jų šeimos nariai ar kiti asmenys</w:t>
      </w:r>
      <w:r w:rsidR="0038306F" w:rsidRPr="00693D5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956B2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306F" w:rsidRPr="00693D52">
        <w:rPr>
          <w:rFonts w:ascii="Times New Roman" w:eastAsia="Times New Roman" w:hAnsi="Times New Roman" w:cs="Times New Roman"/>
          <w:bCs/>
          <w:sz w:val="24"/>
          <w:szCs w:val="24"/>
        </w:rPr>
        <w:t>taip pat bendrabučio vedėjo sprendimu</w:t>
      </w:r>
      <w:r w:rsidR="00E34595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bendrabutyje apsistoti</w:t>
      </w:r>
      <w:r w:rsidR="0038306F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4595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iki mėnesio laikotarpiui priimti asmenys, </w:t>
      </w:r>
      <w:r w:rsidR="007956B2" w:rsidRPr="00693D52">
        <w:rPr>
          <w:rFonts w:ascii="Times New Roman" w:eastAsia="Times New Roman" w:hAnsi="Times New Roman" w:cs="Times New Roman"/>
          <w:bCs/>
          <w:sz w:val="24"/>
          <w:szCs w:val="24"/>
        </w:rPr>
        <w:t>už apsistojimą bendrabutyje moka pagal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kambario, kuriame apsistojama įkain</w:t>
      </w:r>
      <w:r w:rsidR="00BC3B1C" w:rsidRPr="00693D52">
        <w:rPr>
          <w:rFonts w:ascii="Times New Roman" w:eastAsia="Times New Roman" w:hAnsi="Times New Roman" w:cs="Times New Roman"/>
          <w:bCs/>
          <w:sz w:val="24"/>
          <w:szCs w:val="24"/>
        </w:rPr>
        <w:t>į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parai</w:t>
      </w:r>
      <w:r w:rsidR="007956B2" w:rsidRPr="00693D52">
        <w:rPr>
          <w:rFonts w:ascii="Times New Roman" w:eastAsia="Times New Roman" w:hAnsi="Times New Roman" w:cs="Times New Roman"/>
          <w:bCs/>
          <w:sz w:val="24"/>
          <w:szCs w:val="24"/>
        </w:rPr>
        <w:t>. Vaikams iki 12 metų taikoma 50 procentų nuolaida.</w:t>
      </w:r>
    </w:p>
    <w:p w14:paraId="66504FF4" w14:textId="60FE0EE0" w:rsidR="00501140" w:rsidRPr="00693D52" w:rsidRDefault="002038DB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8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Akademijos rektoriaus sprendimu, bendrabutyje gali būti apgyvendinami už sumažintą mokestį</w:t>
      </w:r>
      <w:r w:rsidR="00A31074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iki 50 procentų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4187" w:rsidRPr="00693D52">
        <w:rPr>
          <w:rFonts w:ascii="Times New Roman" w:eastAsia="Times New Roman" w:hAnsi="Times New Roman" w:cs="Times New Roman"/>
          <w:bCs/>
          <w:sz w:val="24"/>
          <w:szCs w:val="24"/>
        </w:rPr>
        <w:t>arba atleidžiami nuo mokesči</w:t>
      </w:r>
      <w:r w:rsidR="002D0D9D" w:rsidRPr="00693D52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366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studentai </w:t>
      </w:r>
      <w:r w:rsidR="004223F9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(bendrabučio nuostatuose numatytais atvejais) </w:t>
      </w:r>
      <w:r w:rsidR="00AC5366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 w:rsidR="002D0D9D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kiti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su studijų procesu Akademijoje susiję asmenys</w:t>
      </w:r>
      <w:r w:rsidR="00515FCD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(dėstytojai ir darbuotojai</w:t>
      </w:r>
      <w:r w:rsidR="00E27420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atvykstanty</w:t>
      </w:r>
      <w:r w:rsidR="00515FCD" w:rsidRPr="00693D52">
        <w:rPr>
          <w:rFonts w:ascii="Times New Roman" w:eastAsia="Times New Roman" w:hAnsi="Times New Roman" w:cs="Times New Roman"/>
          <w:bCs/>
          <w:sz w:val="24"/>
          <w:szCs w:val="24"/>
        </w:rPr>
        <w:t>s į Vilniaus fakultetą</w:t>
      </w:r>
      <w:r w:rsidR="00E27420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darbo reikalais</w:t>
      </w:r>
      <w:r w:rsidR="00515FCD" w:rsidRPr="00693D5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18287F" w14:textId="77777777" w:rsidR="008A3123" w:rsidRPr="00693D52" w:rsidRDefault="008A3123" w:rsidP="00CC47A9">
      <w:pPr>
        <w:pStyle w:val="ListParagraph"/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Kiti bendrabučio įkainiai:</w:t>
      </w:r>
    </w:p>
    <w:p w14:paraId="63D65658" w14:textId="77777777" w:rsidR="007956B2" w:rsidRPr="00693D52" w:rsidRDefault="007956B2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Vienkartinis užstatas – 100 Eur. </w:t>
      </w:r>
    </w:p>
    <w:p w14:paraId="30BB4F60" w14:textId="77777777" w:rsidR="007956B2" w:rsidRPr="00693D52" w:rsidRDefault="007956B2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Už kambario ar kambarių bloko ir jam priklausančių bendro naudojimo patalpų (prieškambario ir dušo/tualeto), kurių neišvalo arba neprižiūri šiose patalpose gyvenantys studentai, vienkartinį išvalymą mokestis – </w:t>
      </w:r>
      <w:r w:rsidR="0090270C" w:rsidRPr="00693D5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0 Eur. Jeigu valomas ne visas blokas, o vienas kambarys, arba prieškambaris ir tualetas skaičiuojama po </w:t>
      </w:r>
      <w:r w:rsidR="0090270C" w:rsidRPr="00693D5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Eur kiekvienam kambario gyventojui. </w:t>
      </w:r>
    </w:p>
    <w:p w14:paraId="1CE0F4D0" w14:textId="77777777" w:rsidR="007956B2" w:rsidRPr="00693D52" w:rsidRDefault="007956B2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Daiktų saugojimo sandėlyje mokestis už parą – 0,5 Eur.</w:t>
      </w:r>
    </w:p>
    <w:p w14:paraId="7D1C885B" w14:textId="77777777" w:rsidR="00D1263C" w:rsidRPr="00693D52" w:rsidRDefault="0049560E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Naujos elektroninės durų kortelės mokestis pametus ar sugadinus senąją </w:t>
      </w:r>
      <w:r w:rsidR="00D1263C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– 3 Eur. </w:t>
      </w:r>
    </w:p>
    <w:p w14:paraId="4AA7FF1F" w14:textId="20F466C7" w:rsidR="009E66C9" w:rsidRPr="00693D52" w:rsidRDefault="00AB6FC9" w:rsidP="00CC47A9">
      <w:pPr>
        <w:pStyle w:val="ListParagraph"/>
        <w:numPr>
          <w:ilvl w:val="1"/>
          <w:numId w:val="4"/>
        </w:numPr>
        <w:spacing w:after="0" w:line="240" w:lineRule="auto"/>
        <w:ind w:left="0" w:firstLine="65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Automobilių s</w:t>
      </w:r>
      <w:r w:rsidR="007D7417" w:rsidRPr="00693D52">
        <w:rPr>
          <w:rFonts w:ascii="Times New Roman" w:eastAsia="Times New Roman" w:hAnsi="Times New Roman" w:cs="Times New Roman"/>
          <w:bCs/>
          <w:sz w:val="24"/>
          <w:szCs w:val="24"/>
        </w:rPr>
        <w:t>tov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ėjimo aikštelės </w:t>
      </w:r>
      <w:r w:rsidR="00BC3B1C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rakinamos zonos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mokestis</w:t>
      </w:r>
      <w:r w:rsidR="00BC3B1C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103F" w:rsidRPr="00693D52">
        <w:rPr>
          <w:rFonts w:ascii="Times New Roman" w:eastAsia="Times New Roman" w:hAnsi="Times New Roman" w:cs="Times New Roman"/>
          <w:bCs/>
          <w:sz w:val="24"/>
          <w:szCs w:val="24"/>
        </w:rPr>
        <w:t>studentams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už vietą per mėnesį – 10 Eur</w:t>
      </w:r>
      <w:r w:rsidR="0006103F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93D52" w:rsidRPr="00693D52">
        <w:rPr>
          <w:rFonts w:ascii="Times New Roman" w:eastAsia="Times New Roman" w:hAnsi="Times New Roman" w:cs="Times New Roman"/>
          <w:bCs/>
          <w:sz w:val="24"/>
          <w:szCs w:val="24"/>
        </w:rPr>
        <w:t>o kitiems apsistojan</w:t>
      </w:r>
      <w:r w:rsidR="00A25808" w:rsidRPr="00693D52">
        <w:rPr>
          <w:rFonts w:ascii="Times New Roman" w:eastAsia="Times New Roman" w:hAnsi="Times New Roman" w:cs="Times New Roman"/>
          <w:bCs/>
          <w:sz w:val="24"/>
          <w:szCs w:val="24"/>
        </w:rPr>
        <w:t>tiems bendrabutyje</w:t>
      </w:r>
      <w:r w:rsidR="0006103F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už parą – 5 Eur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9F3300A" w14:textId="77777777" w:rsidR="00D129BE" w:rsidRPr="00693D52" w:rsidRDefault="000A6784" w:rsidP="00CC47A9">
      <w:pPr>
        <w:pStyle w:val="ListParagraph"/>
        <w:numPr>
          <w:ilvl w:val="0"/>
          <w:numId w:val="4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Visi </w:t>
      </w:r>
      <w:r w:rsidR="006D1143" w:rsidRPr="00693D5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praše nust</w:t>
      </w:r>
      <w:r w:rsidR="00990C09" w:rsidRPr="00693D52">
        <w:rPr>
          <w:rFonts w:ascii="Times New Roman" w:eastAsia="Times New Roman" w:hAnsi="Times New Roman" w:cs="Times New Roman"/>
          <w:bCs/>
          <w:sz w:val="24"/>
          <w:szCs w:val="24"/>
        </w:rPr>
        <w:t>atyti įkainiai nurodyti be pridė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tinės vertės mokesčio (</w:t>
      </w:r>
      <w:r w:rsidR="00913CE8" w:rsidRPr="00693D52">
        <w:rPr>
          <w:rFonts w:ascii="Times New Roman" w:eastAsia="Times New Roman" w:hAnsi="Times New Roman" w:cs="Times New Roman"/>
          <w:bCs/>
          <w:sz w:val="24"/>
          <w:szCs w:val="24"/>
        </w:rPr>
        <w:t>toliau – PVM). T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ais atvejais, kai</w:t>
      </w:r>
      <w:r w:rsidR="00CD04D2"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>PVM yra taikomas</w:t>
      </w:r>
      <w:r w:rsidR="00940614" w:rsidRPr="00693D52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jis pridedamas prie įkainio. </w:t>
      </w:r>
    </w:p>
    <w:p w14:paraId="7186B90F" w14:textId="77777777" w:rsidR="007956B2" w:rsidRPr="00693D52" w:rsidRDefault="00373773" w:rsidP="00CC4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  <w:r w:rsidR="008553C7" w:rsidRPr="00693D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1 </w:t>
      </w:r>
      <w:r w:rsidR="007956B2" w:rsidRPr="00693D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Lentelė. </w:t>
      </w:r>
      <w:r w:rsidR="008553C7" w:rsidRPr="00693D52">
        <w:rPr>
          <w:rFonts w:ascii="Times New Roman" w:eastAsia="Times New Roman" w:hAnsi="Times New Roman" w:cs="Times New Roman"/>
          <w:b/>
          <w:bCs/>
          <w:sz w:val="24"/>
          <w:szCs w:val="24"/>
        </w:rPr>
        <w:t>Studentų kambarių</w:t>
      </w:r>
      <w:r w:rsidR="007956B2" w:rsidRPr="00693D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53C7" w:rsidRPr="00693D52">
        <w:rPr>
          <w:rFonts w:ascii="Times New Roman" w:eastAsia="Times New Roman" w:hAnsi="Times New Roman" w:cs="Times New Roman"/>
          <w:b/>
          <w:bCs/>
          <w:sz w:val="24"/>
          <w:szCs w:val="24"/>
        </w:rPr>
        <w:t>įkainiai</w:t>
      </w:r>
    </w:p>
    <w:p w14:paraId="587674F3" w14:textId="77777777" w:rsidR="007956B2" w:rsidRPr="00693D52" w:rsidRDefault="007956B2" w:rsidP="00CC47A9">
      <w:pPr>
        <w:tabs>
          <w:tab w:val="left" w:pos="1296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3D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  <w:gridCol w:w="2410"/>
      </w:tblGrid>
      <w:tr w:rsidR="00693D52" w:rsidRPr="00693D52" w14:paraId="71A86013" w14:textId="77777777" w:rsidTr="00FC0CC3">
        <w:trPr>
          <w:cantSplit/>
          <w:trHeight w:val="34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717BE6" w14:textId="77777777" w:rsidR="000B64E0" w:rsidRPr="00693D52" w:rsidRDefault="000B64E0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Eil. Nr.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3AAF66E" w14:textId="77777777" w:rsidR="000B64E0" w:rsidRPr="00693D52" w:rsidRDefault="000B64E0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Kambario Nr.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BCA591" w14:textId="77777777" w:rsidR="000B64E0" w:rsidRPr="00693D52" w:rsidRDefault="000B64E0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Vietų kambaryje skaičius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869B8" w14:textId="77777777" w:rsidR="000B64E0" w:rsidRPr="00693D52" w:rsidRDefault="000B64E0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Kaina už vietą per mėn., Eur be PVM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96C7A9C" w14:textId="77777777" w:rsidR="000B64E0" w:rsidRPr="00693D52" w:rsidRDefault="000B64E0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Kaina už vietą per parą, Eur be PVM</w:t>
            </w:r>
          </w:p>
        </w:tc>
      </w:tr>
      <w:tr w:rsidR="00693D52" w:rsidRPr="00693D52" w14:paraId="0711ECD1" w14:textId="77777777" w:rsidTr="00FC0CC3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ABBF3" w14:textId="77777777" w:rsidR="004D24C2" w:rsidRPr="00693D52" w:rsidRDefault="004D24C2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4DA3" w14:textId="77777777" w:rsidR="004D24C2" w:rsidRPr="00693D52" w:rsidRDefault="00E41914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69CB" w14:textId="77777777" w:rsidR="004D24C2" w:rsidRPr="00693D52" w:rsidRDefault="00E41914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42B9" w14:textId="77777777" w:rsidR="004D24C2" w:rsidRPr="00693D52" w:rsidRDefault="004D24C2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C3022"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92F6" w14:textId="77777777" w:rsidR="004D24C2" w:rsidRPr="00693D52" w:rsidRDefault="004C3022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93D52" w:rsidRPr="00693D52" w14:paraId="7FA61EAF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B6D4BB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BFCB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102-1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B298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4EE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B1F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317A47BA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F40F5F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E634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102-2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3D51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B61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135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59F56FA1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E70DB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C439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912D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14B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141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12705001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85E30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23B1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1D186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D84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B48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3457BB86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9F47A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4DC6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89E2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41A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0E9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6CE85DCF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C1DE45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8C7B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1CE36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993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14F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2998EE35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63C7BC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242BF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963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AD7F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C21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32701897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738D9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CD59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BE0C0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CAC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90B5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1E17A6DC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6C3279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908B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086F5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89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89A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0E9B54B9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8FB93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7EBF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4AAC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E07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5AA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1AE4D780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E07AF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9B38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9B5C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B52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E6B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295C4056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2C0045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34EC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2F25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456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7108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93D52" w:rsidRPr="00693D52" w14:paraId="4A82D142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1CE39B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48C46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6208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B101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5661" w14:textId="77777777" w:rsidR="00C260ED" w:rsidRPr="00693D52" w:rsidRDefault="00BA4402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93D52" w:rsidRPr="00693D52" w14:paraId="6AC42C53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29AEF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E810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8472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E6EB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801A" w14:textId="77777777" w:rsidR="00C260ED" w:rsidRPr="00693D52" w:rsidRDefault="00BA4402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3AE5731A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565EA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37BE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61C9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00D6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D0C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605AA928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7D7102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514E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0683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E97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6280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126D4AB1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84983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8E23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BE1C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676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CBE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2354AA47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71FC0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9CC1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8335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D93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A3B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68AE4DC4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536DF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6AAA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DB7D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790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4C1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268E8F81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A5962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3BDC6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41F1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5F45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BBB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4AA1317B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41AA9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F943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6057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112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09D5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73D21B8E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F41453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C896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0C2D5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53F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553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46F64403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77FFDC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F7CB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FE0C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096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10E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0D3672AD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BF59D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A6FA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A885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C180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342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774975B8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9FF88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CF67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75EF0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E9C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D01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6A89FCFA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612D9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DE42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767E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667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5AC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76AC994F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BAFDDA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977C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4D02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5CB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3B2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7E6C6116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2659B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0D98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5F14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E7F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FC7F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30844D9D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577BD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F531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48E5A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CE4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C9B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3F2E7843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2505B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1A87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8F5A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333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F6B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4320A9A3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C87B80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6E38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44A0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A68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09D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45F700B2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189EB7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DBDC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6595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C3C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A87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7ED1910E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279FE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ECA2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D516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524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8665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43E7D7C9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AF6F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51E2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27610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30F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FFFA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93D52" w:rsidRPr="00693D52" w14:paraId="2C18EA4B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4E1C2D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BC23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77A7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456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6B44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2009485E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109E0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ACE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A855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4FD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DBC0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2EE87A20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29FC0B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E6D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1E24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7FE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E29E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693D52" w:rsidRPr="00693D52" w14:paraId="2BED8694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1F658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443D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B7FF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55E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9951" w14:textId="77777777" w:rsidR="00C260ED" w:rsidRPr="00693D52" w:rsidRDefault="00BA4402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693D52" w:rsidRPr="00693D52" w14:paraId="298C78CB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0A08D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C115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1574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D6A6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888E" w14:textId="77777777" w:rsidR="00C260ED" w:rsidRPr="00693D52" w:rsidRDefault="00BA4402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6FDA418B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2C8FC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518B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285B6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97C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35C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2077C2A5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16B2F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99CF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6FCEF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0A9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B579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4738C437" w14:textId="77777777" w:rsidTr="00C260ED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2E5B2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2A885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7BB6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2406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F09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D52" w:rsidRPr="00693D52" w14:paraId="1C4A7885" w14:textId="77777777" w:rsidTr="00C260ED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CC4E24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EA4F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AF15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7CF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C79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50241A71" w14:textId="77777777" w:rsidTr="00AB6FC9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E549D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1041F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7E11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1D2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588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18E5C65A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7545E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C628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CC0B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06FE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284C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693D52" w:rsidRPr="00693D52" w14:paraId="4868C254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71CE6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C71D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8B148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DF03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5758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0DD4504D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3F7FD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D9F32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1056D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EC4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D26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93D52" w:rsidRPr="00693D52" w14:paraId="1D5AD367" w14:textId="77777777" w:rsidTr="002E6397">
        <w:trPr>
          <w:cantSplit/>
          <w:trHeight w:val="244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9571E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FD5C4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89F10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0101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5530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C260ED" w:rsidRPr="00693D52" w14:paraId="1FA797E7" w14:textId="77777777" w:rsidTr="002E6397">
        <w:trPr>
          <w:cantSplit/>
          <w:trHeight w:val="245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CDC67" w14:textId="77777777" w:rsidR="00C260ED" w:rsidRPr="00693D52" w:rsidRDefault="00C260ED" w:rsidP="00CC47A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027EC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84DAB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7727" w14:textId="77777777" w:rsidR="00C260ED" w:rsidRPr="00693D52" w:rsidRDefault="00C260ED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11CD" w14:textId="77777777" w:rsidR="00C260ED" w:rsidRPr="00693D52" w:rsidRDefault="00AB6FC9" w:rsidP="00CC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</w:tbl>
    <w:p w14:paraId="7B7B35C2" w14:textId="77777777" w:rsidR="008553C7" w:rsidRPr="00693D52" w:rsidRDefault="008553C7" w:rsidP="00CC4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A4033" w14:textId="77777777" w:rsidR="008553C7" w:rsidRPr="00693D52" w:rsidRDefault="008553C7" w:rsidP="00CC4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lentelė. Užsienio studentų kambarių įkainiai</w:t>
      </w:r>
    </w:p>
    <w:tbl>
      <w:tblPr>
        <w:tblW w:w="9948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876"/>
        <w:gridCol w:w="1276"/>
        <w:gridCol w:w="3118"/>
        <w:gridCol w:w="2410"/>
        <w:gridCol w:w="2268"/>
      </w:tblGrid>
      <w:tr w:rsidR="00693D52" w:rsidRPr="00693D52" w14:paraId="4C4BAEFC" w14:textId="77777777" w:rsidTr="00483A1E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A0DAD96" w14:textId="77777777" w:rsidR="008553C7" w:rsidRPr="00693D52" w:rsidRDefault="008553C7" w:rsidP="00CC47A9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Eil.Nr.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C90AC9" w14:textId="77777777" w:rsidR="008553C7" w:rsidRPr="00693D52" w:rsidRDefault="008553C7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Kamb. Nr.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AFC32B" w14:textId="77777777" w:rsidR="008553C7" w:rsidRPr="00693D52" w:rsidRDefault="008553C7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Vietų kambaryje skaičius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1DF3604" w14:textId="77777777" w:rsidR="008553C7" w:rsidRPr="00693D52" w:rsidRDefault="008553C7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Kaina už vietą per mėn. </w:t>
            </w:r>
            <w:r w:rsidR="00483A1E"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Eur be PVM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2818C8" w14:textId="77777777" w:rsidR="008553C7" w:rsidRPr="00693D52" w:rsidRDefault="008553C7" w:rsidP="00CC4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Kaina už vietą per parą</w:t>
            </w:r>
            <w:r w:rsidR="00483A1E"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83A1E"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Eur be PVM</w:t>
            </w:r>
          </w:p>
        </w:tc>
      </w:tr>
      <w:tr w:rsidR="00693D52" w:rsidRPr="00693D52" w14:paraId="5CFBCFAE" w14:textId="77777777" w:rsidTr="00B019BF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4DCFB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E3E16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08E9D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BCE7C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D66C1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693D52" w:rsidRPr="00693D52" w14:paraId="02C63246" w14:textId="77777777" w:rsidTr="00B019BF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5B30AF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6787B0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CD23CF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390DE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739783A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693D52" w:rsidRPr="00693D52" w14:paraId="7E18121F" w14:textId="77777777" w:rsidTr="00B019BF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8835BCF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65C668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7942B7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0120E4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5781B6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693D52" w:rsidRPr="00693D52" w14:paraId="218120D5" w14:textId="77777777" w:rsidTr="00B019BF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7C202D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0EB545C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102A8F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D8152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970AAB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693D52" w:rsidRPr="00693D52" w14:paraId="2DD20DB7" w14:textId="77777777" w:rsidTr="00BA4402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555A1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301EB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D54BC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88B43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35072" w14:textId="77777777" w:rsidR="00BA4402" w:rsidRPr="00693D52" w:rsidRDefault="007170AC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693D52" w:rsidRPr="00693D52" w14:paraId="7EBC43CE" w14:textId="77777777" w:rsidTr="00BA4402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4F953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DC8CF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7728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60F7B9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C44E7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693D52" w:rsidRPr="00693D52" w14:paraId="7BBD8AEB" w14:textId="77777777" w:rsidTr="00BA4402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39A3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9E92B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3175A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38D92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AE485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693D52" w:rsidRPr="00693D52" w14:paraId="3C5B3017" w14:textId="77777777" w:rsidTr="00B019BF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759F3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8D6E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79C0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3647C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2C98E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693D52" w:rsidRPr="00693D52" w14:paraId="78082CD0" w14:textId="77777777" w:rsidTr="00B019BF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0C497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28D5A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8DE3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10F4A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44AD8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693D52" w:rsidRPr="00693D52" w14:paraId="74CD9D3C" w14:textId="77777777" w:rsidTr="00B019BF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C1A93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472B7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18CF3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94881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F4B04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693D52" w:rsidRPr="00693D52" w14:paraId="06974D8A" w14:textId="77777777" w:rsidTr="00BA4402">
        <w:trPr>
          <w:cantSplit/>
          <w:trHeight w:val="38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5FD43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1AD8F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C25F6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90E21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FF7EE" w14:textId="77777777" w:rsidR="00BA4402" w:rsidRPr="00693D52" w:rsidRDefault="00AB6FC9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693D52" w:rsidRPr="00693D52" w14:paraId="4FBAB450" w14:textId="77777777" w:rsidTr="008F0033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66612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6B08F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026B4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9AF8B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02D67" w14:textId="77777777" w:rsidR="00BA4402" w:rsidRPr="00693D52" w:rsidRDefault="00AB6FC9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693D52" w:rsidRPr="00693D52" w14:paraId="5BB565EA" w14:textId="77777777" w:rsidTr="008F0033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4507B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05C58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377C2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61483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A08E" w14:textId="77777777" w:rsidR="00BA4402" w:rsidRPr="00693D52" w:rsidRDefault="00AB6FC9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693D52" w:rsidRPr="00693D52" w14:paraId="74960CEC" w14:textId="77777777" w:rsidTr="008F0033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3A570" w14:textId="77777777" w:rsidR="00BA4402" w:rsidRPr="00693D52" w:rsidRDefault="00BA4402" w:rsidP="00CC47A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E94F3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411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1141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E8CB" w14:textId="77777777" w:rsidR="00BA4402" w:rsidRPr="00693D52" w:rsidRDefault="00BA4402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68917" w14:textId="77777777" w:rsidR="00BA4402" w:rsidRPr="00693D52" w:rsidRDefault="00AB6FC9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</w:tbl>
    <w:p w14:paraId="3B7AA435" w14:textId="77777777" w:rsidR="008553C7" w:rsidRPr="00693D52" w:rsidRDefault="008553C7" w:rsidP="00CC4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FA6370" w14:textId="57B61542" w:rsidR="008553C7" w:rsidRPr="00693D52" w:rsidRDefault="008553C7" w:rsidP="00CC4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lentelė. </w:t>
      </w:r>
      <w:r w:rsidR="00E91927"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062DD1"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tvykstančių </w:t>
      </w:r>
      <w:r w:rsidR="00E91927"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į VDA </w:t>
      </w:r>
      <w:r w:rsidR="00062DD1"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dėstytojų</w:t>
      </w:r>
      <w:r w:rsidR="00963AAF"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15FCD"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kitų </w:t>
      </w:r>
      <w:r w:rsidR="00963AAF"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darbuotojų</w:t>
      </w:r>
      <w:r w:rsidR="00062DD1"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ir svečių </w:t>
      </w:r>
      <w:r w:rsidRPr="00693D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kambarių įkainiai</w:t>
      </w:r>
    </w:p>
    <w:p w14:paraId="22C5A5E4" w14:textId="77777777" w:rsidR="008553C7" w:rsidRPr="00693D52" w:rsidRDefault="008553C7" w:rsidP="00CC4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14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876"/>
        <w:gridCol w:w="1011"/>
        <w:gridCol w:w="1803"/>
        <w:gridCol w:w="4455"/>
      </w:tblGrid>
      <w:tr w:rsidR="00693D52" w:rsidRPr="00693D52" w14:paraId="495F8FEA" w14:textId="77777777" w:rsidTr="003D16A7">
        <w:trPr>
          <w:cantSplit/>
          <w:trHeight w:val="283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79EC61" w14:textId="77777777" w:rsidR="00E34595" w:rsidRPr="00693D52" w:rsidRDefault="00E34595" w:rsidP="00CC47A9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Eil.Nr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76E02D4" w14:textId="77777777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Kamb. Nr.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26F64B1" w14:textId="77777777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Vietų kambaryje skaičius</w:t>
            </w:r>
          </w:p>
        </w:tc>
        <w:tc>
          <w:tcPr>
            <w:tcW w:w="4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5B55A8B" w14:textId="67E3A463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Kaina už kambarį per parą, Eur be PVM</w:t>
            </w:r>
          </w:p>
        </w:tc>
      </w:tr>
      <w:tr w:rsidR="00693D52" w:rsidRPr="00693D52" w14:paraId="3B3B82D5" w14:textId="77777777" w:rsidTr="003D16A7">
        <w:trPr>
          <w:cantSplit/>
          <w:trHeight w:val="283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0E2F0" w14:textId="77777777" w:rsidR="00E34595" w:rsidRPr="00693D52" w:rsidRDefault="00E34595" w:rsidP="00CC4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F16B5" w14:textId="0ADD30CC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711F8" w14:textId="77777777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4A49B" w14:textId="28AFF50E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</w:tr>
      <w:tr w:rsidR="00693D52" w:rsidRPr="00693D52" w14:paraId="25F1D73E" w14:textId="77777777" w:rsidTr="003D16A7">
        <w:trPr>
          <w:cantSplit/>
          <w:trHeight w:val="283"/>
        </w:trPr>
        <w:tc>
          <w:tcPr>
            <w:tcW w:w="8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5170BE1" w14:textId="77777777" w:rsidR="00E34595" w:rsidRPr="00693D52" w:rsidRDefault="00E34595" w:rsidP="00CC47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2FA32A" w14:textId="77777777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419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E932F71" w14:textId="77777777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3ECAAC" w14:textId="4A3B77B5" w:rsidR="00E34595" w:rsidRPr="00693D52" w:rsidRDefault="00E34595" w:rsidP="00CC47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3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40*</w:t>
            </w:r>
          </w:p>
        </w:tc>
      </w:tr>
    </w:tbl>
    <w:p w14:paraId="49DB2630" w14:textId="77777777" w:rsidR="00EE5561" w:rsidRPr="00693D52" w:rsidRDefault="00EE5561" w:rsidP="00CC4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3576FD2" w14:textId="5F82C698" w:rsidR="003D16A7" w:rsidRPr="00693D52" w:rsidRDefault="001E5D60" w:rsidP="00CC4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3D52">
        <w:rPr>
          <w:rFonts w:ascii="Times New Roman" w:eastAsia="Times New Roman" w:hAnsi="Times New Roman" w:cs="Times New Roman"/>
          <w:sz w:val="18"/>
          <w:szCs w:val="18"/>
          <w:lang w:eastAsia="ar-SA"/>
        </w:rPr>
        <w:t>*</w:t>
      </w:r>
      <w:r w:rsidR="002715F6" w:rsidRPr="00693D5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24762" w:rsidRPr="00693D52">
        <w:rPr>
          <w:rFonts w:ascii="Times New Roman" w:eastAsia="Times New Roman" w:hAnsi="Times New Roman" w:cs="Times New Roman"/>
          <w:sz w:val="20"/>
          <w:szCs w:val="20"/>
          <w:lang w:eastAsia="ar-SA"/>
        </w:rPr>
        <w:t>Įkainis fiksuotas (nemažinamas kambaryje apsistojus tik vienam asmeniui)</w:t>
      </w:r>
      <w:r w:rsidR="003D16A7" w:rsidRPr="00693D5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7754CFE8" w14:textId="2C69B3E4" w:rsidR="00854BEF" w:rsidRPr="00693D52" w:rsidRDefault="007956B2" w:rsidP="00CC47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693D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854BEF" w:rsidRPr="00693D52" w:rsidSect="00373773">
      <w:footerReference w:type="default" r:id="rId8"/>
      <w:pgSz w:w="11906" w:h="16838" w:code="9"/>
      <w:pgMar w:top="1134" w:right="1077" w:bottom="1134" w:left="107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88C2" w14:textId="77777777" w:rsidR="003F0373" w:rsidRDefault="003F0373" w:rsidP="007956B2">
      <w:pPr>
        <w:spacing w:after="0" w:line="240" w:lineRule="auto"/>
      </w:pPr>
      <w:r>
        <w:separator/>
      </w:r>
    </w:p>
  </w:endnote>
  <w:endnote w:type="continuationSeparator" w:id="0">
    <w:p w14:paraId="055AC4EE" w14:textId="77777777" w:rsidR="003F0373" w:rsidRDefault="003F0373" w:rsidP="0079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2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E8CCF" w14:textId="291DCC55" w:rsidR="00A5792A" w:rsidRDefault="00A57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DCA8C1" w14:textId="77777777" w:rsidR="00A5792A" w:rsidRDefault="00A579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82CC7" w14:textId="77777777" w:rsidR="003F0373" w:rsidRDefault="003F0373" w:rsidP="007956B2">
      <w:pPr>
        <w:spacing w:after="0" w:line="240" w:lineRule="auto"/>
      </w:pPr>
      <w:r>
        <w:separator/>
      </w:r>
    </w:p>
  </w:footnote>
  <w:footnote w:type="continuationSeparator" w:id="0">
    <w:p w14:paraId="52874B00" w14:textId="77777777" w:rsidR="003F0373" w:rsidRDefault="003F0373" w:rsidP="007956B2">
      <w:pPr>
        <w:spacing w:after="0" w:line="240" w:lineRule="auto"/>
      </w:pPr>
      <w:r>
        <w:continuationSeparator/>
      </w:r>
    </w:p>
  </w:footnote>
  <w:footnote w:id="1">
    <w:p w14:paraId="1C240110" w14:textId="77777777" w:rsidR="00940614" w:rsidRPr="008866F0" w:rsidRDefault="00940614" w:rsidP="003C2CAE">
      <w:pPr>
        <w:pStyle w:val="FootnoteTex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913CE8" w:rsidRPr="008866F0">
        <w:rPr>
          <w:rFonts w:ascii="Times New Roman" w:hAnsi="Times New Roman" w:cs="Times New Roman"/>
          <w:sz w:val="18"/>
          <w:szCs w:val="18"/>
        </w:rPr>
        <w:t xml:space="preserve">Vadovaujantis </w:t>
      </w:r>
      <w:r w:rsidR="00B40BD4" w:rsidRPr="008866F0">
        <w:rPr>
          <w:rFonts w:ascii="Times New Roman" w:eastAsia="Times New Roman" w:hAnsi="Times New Roman" w:cs="Times New Roman"/>
          <w:bCs/>
          <w:sz w:val="18"/>
          <w:szCs w:val="18"/>
        </w:rPr>
        <w:t xml:space="preserve">Lietuvos Respublikos </w:t>
      </w:r>
      <w:r w:rsidR="00B40BD4" w:rsidRPr="008866F0">
        <w:rPr>
          <w:rFonts w:ascii="Times New Roman" w:hAnsi="Times New Roman" w:cs="Times New Roman"/>
          <w:bCs/>
          <w:sz w:val="18"/>
          <w:szCs w:val="18"/>
        </w:rPr>
        <w:t>p</w:t>
      </w:r>
      <w:r w:rsidR="00913CE8" w:rsidRPr="008866F0">
        <w:rPr>
          <w:rFonts w:ascii="Times New Roman" w:hAnsi="Times New Roman" w:cs="Times New Roman"/>
          <w:bCs/>
          <w:sz w:val="18"/>
          <w:szCs w:val="18"/>
        </w:rPr>
        <w:t xml:space="preserve">ridėtines vertės mokesčio įstatymu, </w:t>
      </w:r>
      <w:r w:rsidRPr="008866F0">
        <w:rPr>
          <w:rFonts w:ascii="Times New Roman" w:hAnsi="Times New Roman" w:cs="Times New Roman"/>
          <w:bCs/>
          <w:sz w:val="18"/>
          <w:szCs w:val="18"/>
        </w:rPr>
        <w:t xml:space="preserve">PVM </w:t>
      </w:r>
      <w:r w:rsidR="00A15EA1" w:rsidRPr="008866F0">
        <w:rPr>
          <w:rFonts w:ascii="Times New Roman" w:hAnsi="Times New Roman" w:cs="Times New Roman"/>
          <w:bCs/>
          <w:sz w:val="18"/>
          <w:szCs w:val="18"/>
        </w:rPr>
        <w:t>neapmoke</w:t>
      </w:r>
      <w:r w:rsidR="00B83846" w:rsidRPr="008866F0">
        <w:rPr>
          <w:rFonts w:ascii="Times New Roman" w:hAnsi="Times New Roman" w:cs="Times New Roman"/>
          <w:bCs/>
          <w:sz w:val="18"/>
          <w:szCs w:val="18"/>
        </w:rPr>
        <w:t>stinama: (1)</w:t>
      </w:r>
      <w:r w:rsidR="00A15EA1" w:rsidRPr="008866F0">
        <w:rPr>
          <w:rFonts w:ascii="Times New Roman" w:hAnsi="Times New Roman" w:cs="Times New Roman"/>
          <w:bCs/>
          <w:sz w:val="18"/>
          <w:szCs w:val="18"/>
        </w:rPr>
        <w:t xml:space="preserve"> su </w:t>
      </w:r>
      <w:r w:rsidR="00666A95" w:rsidRPr="008866F0">
        <w:rPr>
          <w:rFonts w:ascii="Times New Roman" w:hAnsi="Times New Roman" w:cs="Times New Roman"/>
          <w:bCs/>
          <w:sz w:val="18"/>
          <w:szCs w:val="18"/>
        </w:rPr>
        <w:t>švietimo ir mokymo paslaugomis</w:t>
      </w:r>
      <w:r w:rsidR="00A15EA1" w:rsidRPr="008866F0">
        <w:rPr>
          <w:rFonts w:ascii="Times New Roman" w:hAnsi="Times New Roman" w:cs="Times New Roman"/>
          <w:bCs/>
          <w:sz w:val="18"/>
          <w:szCs w:val="18"/>
        </w:rPr>
        <w:t xml:space="preserve"> susijusios paslaugos šių paslaugų var</w:t>
      </w:r>
      <w:r w:rsidR="002C1A20">
        <w:rPr>
          <w:rFonts w:ascii="Times New Roman" w:hAnsi="Times New Roman" w:cs="Times New Roman"/>
          <w:bCs/>
          <w:sz w:val="18"/>
          <w:szCs w:val="18"/>
        </w:rPr>
        <w:t>t</w:t>
      </w:r>
      <w:r w:rsidR="00A15EA1" w:rsidRPr="008866F0">
        <w:rPr>
          <w:rFonts w:ascii="Times New Roman" w:hAnsi="Times New Roman" w:cs="Times New Roman"/>
          <w:bCs/>
          <w:sz w:val="18"/>
          <w:szCs w:val="18"/>
        </w:rPr>
        <w:t>otojams</w:t>
      </w:r>
      <w:r w:rsidR="00B83846" w:rsidRPr="008866F0">
        <w:rPr>
          <w:rFonts w:ascii="Times New Roman" w:hAnsi="Times New Roman" w:cs="Times New Roman"/>
          <w:bCs/>
          <w:sz w:val="18"/>
          <w:szCs w:val="18"/>
        </w:rPr>
        <w:t xml:space="preserve">; (2) </w:t>
      </w:r>
      <w:r w:rsidR="006A2559" w:rsidRPr="008866F0">
        <w:rPr>
          <w:rFonts w:ascii="Times New Roman" w:hAnsi="Times New Roman" w:cs="Times New Roman"/>
          <w:bCs/>
          <w:sz w:val="18"/>
          <w:szCs w:val="18"/>
        </w:rPr>
        <w:t xml:space="preserve">bendrabučio tipo </w:t>
      </w:r>
      <w:r w:rsidR="00B83846" w:rsidRPr="008866F0">
        <w:rPr>
          <w:rFonts w:ascii="Times New Roman" w:hAnsi="Times New Roman" w:cs="Times New Roman"/>
          <w:bCs/>
          <w:sz w:val="18"/>
          <w:szCs w:val="18"/>
        </w:rPr>
        <w:t>gyvenamųjų patalpų nuoma, kurios laikotarpis ilgesnis kaip 2 mėnesiai.</w:t>
      </w:r>
    </w:p>
    <w:p w14:paraId="2C49959C" w14:textId="77777777" w:rsidR="00940614" w:rsidRDefault="00940614" w:rsidP="009406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B479A1"/>
    <w:multiLevelType w:val="hybridMultilevel"/>
    <w:tmpl w:val="B952F310"/>
    <w:lvl w:ilvl="0" w:tplc="47D0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2F65E">
      <w:numFmt w:val="none"/>
      <w:lvlText w:val=""/>
      <w:lvlJc w:val="left"/>
      <w:pPr>
        <w:tabs>
          <w:tab w:val="num" w:pos="360"/>
        </w:tabs>
      </w:pPr>
    </w:lvl>
    <w:lvl w:ilvl="2" w:tplc="2B107C3C">
      <w:numFmt w:val="none"/>
      <w:lvlText w:val=""/>
      <w:lvlJc w:val="left"/>
      <w:pPr>
        <w:tabs>
          <w:tab w:val="num" w:pos="360"/>
        </w:tabs>
      </w:pPr>
    </w:lvl>
    <w:lvl w:ilvl="3" w:tplc="A4361FD0">
      <w:numFmt w:val="none"/>
      <w:lvlText w:val=""/>
      <w:lvlJc w:val="left"/>
      <w:pPr>
        <w:tabs>
          <w:tab w:val="num" w:pos="360"/>
        </w:tabs>
      </w:pPr>
    </w:lvl>
    <w:lvl w:ilvl="4" w:tplc="CFB4E3AA">
      <w:numFmt w:val="none"/>
      <w:lvlText w:val=""/>
      <w:lvlJc w:val="left"/>
      <w:pPr>
        <w:tabs>
          <w:tab w:val="num" w:pos="360"/>
        </w:tabs>
      </w:pPr>
    </w:lvl>
    <w:lvl w:ilvl="5" w:tplc="793C815C">
      <w:numFmt w:val="none"/>
      <w:lvlText w:val=""/>
      <w:lvlJc w:val="left"/>
      <w:pPr>
        <w:tabs>
          <w:tab w:val="num" w:pos="360"/>
        </w:tabs>
      </w:pPr>
    </w:lvl>
    <w:lvl w:ilvl="6" w:tplc="4462B322">
      <w:numFmt w:val="none"/>
      <w:lvlText w:val=""/>
      <w:lvlJc w:val="left"/>
      <w:pPr>
        <w:tabs>
          <w:tab w:val="num" w:pos="360"/>
        </w:tabs>
      </w:pPr>
    </w:lvl>
    <w:lvl w:ilvl="7" w:tplc="9198155A">
      <w:numFmt w:val="none"/>
      <w:lvlText w:val=""/>
      <w:lvlJc w:val="left"/>
      <w:pPr>
        <w:tabs>
          <w:tab w:val="num" w:pos="360"/>
        </w:tabs>
      </w:pPr>
    </w:lvl>
    <w:lvl w:ilvl="8" w:tplc="700AA64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7950DF"/>
    <w:multiLevelType w:val="multilevel"/>
    <w:tmpl w:val="5EA8C6C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eastAsiaTheme="minorHAnsi" w:hint="default"/>
      </w:rPr>
    </w:lvl>
  </w:abstractNum>
  <w:abstractNum w:abstractNumId="3" w15:restartNumberingAfterBreak="0">
    <w:nsid w:val="4923794C"/>
    <w:multiLevelType w:val="hybridMultilevel"/>
    <w:tmpl w:val="2B248E76"/>
    <w:lvl w:ilvl="0" w:tplc="38289E7A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B53D7"/>
    <w:multiLevelType w:val="hybridMultilevel"/>
    <w:tmpl w:val="45B81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B2"/>
    <w:rsid w:val="00001E28"/>
    <w:rsid w:val="00012EF9"/>
    <w:rsid w:val="000203B9"/>
    <w:rsid w:val="00053EF6"/>
    <w:rsid w:val="00054A13"/>
    <w:rsid w:val="00056C9E"/>
    <w:rsid w:val="0006103F"/>
    <w:rsid w:val="00062DD1"/>
    <w:rsid w:val="0007031F"/>
    <w:rsid w:val="00087ABF"/>
    <w:rsid w:val="00091CC1"/>
    <w:rsid w:val="000A6784"/>
    <w:rsid w:val="000B64E0"/>
    <w:rsid w:val="000D0CF6"/>
    <w:rsid w:val="000D59E5"/>
    <w:rsid w:val="000E101E"/>
    <w:rsid w:val="000E6E53"/>
    <w:rsid w:val="001135AC"/>
    <w:rsid w:val="001152D1"/>
    <w:rsid w:val="00133FE5"/>
    <w:rsid w:val="001356AE"/>
    <w:rsid w:val="00136F57"/>
    <w:rsid w:val="00140060"/>
    <w:rsid w:val="001752D3"/>
    <w:rsid w:val="00197E5A"/>
    <w:rsid w:val="001A17D8"/>
    <w:rsid w:val="001A4468"/>
    <w:rsid w:val="001B4119"/>
    <w:rsid w:val="001B4436"/>
    <w:rsid w:val="001B5F4A"/>
    <w:rsid w:val="001E5D60"/>
    <w:rsid w:val="001E739B"/>
    <w:rsid w:val="001E77A1"/>
    <w:rsid w:val="00202141"/>
    <w:rsid w:val="002038DB"/>
    <w:rsid w:val="00206127"/>
    <w:rsid w:val="00230D69"/>
    <w:rsid w:val="00234184"/>
    <w:rsid w:val="002715F6"/>
    <w:rsid w:val="00283E5E"/>
    <w:rsid w:val="002A195E"/>
    <w:rsid w:val="002A776F"/>
    <w:rsid w:val="002B1863"/>
    <w:rsid w:val="002B7E40"/>
    <w:rsid w:val="002C1A20"/>
    <w:rsid w:val="002C28A4"/>
    <w:rsid w:val="002D0D9D"/>
    <w:rsid w:val="002D77DB"/>
    <w:rsid w:val="002D7CBA"/>
    <w:rsid w:val="002E3A2F"/>
    <w:rsid w:val="002E651A"/>
    <w:rsid w:val="0031202F"/>
    <w:rsid w:val="00327FA5"/>
    <w:rsid w:val="00331601"/>
    <w:rsid w:val="003375E7"/>
    <w:rsid w:val="00346681"/>
    <w:rsid w:val="00373773"/>
    <w:rsid w:val="00373917"/>
    <w:rsid w:val="003813D9"/>
    <w:rsid w:val="0038306F"/>
    <w:rsid w:val="003861A7"/>
    <w:rsid w:val="003927FB"/>
    <w:rsid w:val="003931B9"/>
    <w:rsid w:val="003B4D2F"/>
    <w:rsid w:val="003C0D26"/>
    <w:rsid w:val="003C2CAE"/>
    <w:rsid w:val="003C778F"/>
    <w:rsid w:val="003D16A7"/>
    <w:rsid w:val="003E00D7"/>
    <w:rsid w:val="003E6930"/>
    <w:rsid w:val="003F0373"/>
    <w:rsid w:val="003F0BB2"/>
    <w:rsid w:val="003F4F44"/>
    <w:rsid w:val="0040235A"/>
    <w:rsid w:val="004223F9"/>
    <w:rsid w:val="004272D6"/>
    <w:rsid w:val="00452A9B"/>
    <w:rsid w:val="00452D48"/>
    <w:rsid w:val="00483A1E"/>
    <w:rsid w:val="004875B8"/>
    <w:rsid w:val="0049560E"/>
    <w:rsid w:val="004B00FF"/>
    <w:rsid w:val="004C3022"/>
    <w:rsid w:val="004C4E96"/>
    <w:rsid w:val="004D24C2"/>
    <w:rsid w:val="004D6513"/>
    <w:rsid w:val="004E39B1"/>
    <w:rsid w:val="00501140"/>
    <w:rsid w:val="00504A13"/>
    <w:rsid w:val="00515FCD"/>
    <w:rsid w:val="00531F52"/>
    <w:rsid w:val="00572A98"/>
    <w:rsid w:val="005B41FD"/>
    <w:rsid w:val="005C6566"/>
    <w:rsid w:val="005D1809"/>
    <w:rsid w:val="005D4E34"/>
    <w:rsid w:val="005F7A81"/>
    <w:rsid w:val="0061571F"/>
    <w:rsid w:val="00624762"/>
    <w:rsid w:val="00641F01"/>
    <w:rsid w:val="006468E5"/>
    <w:rsid w:val="00666A95"/>
    <w:rsid w:val="006670B5"/>
    <w:rsid w:val="00684BBE"/>
    <w:rsid w:val="00693D52"/>
    <w:rsid w:val="006A2559"/>
    <w:rsid w:val="006A2903"/>
    <w:rsid w:val="006C1001"/>
    <w:rsid w:val="006C2761"/>
    <w:rsid w:val="006D1143"/>
    <w:rsid w:val="00707252"/>
    <w:rsid w:val="007170AC"/>
    <w:rsid w:val="00722BBD"/>
    <w:rsid w:val="00773B6B"/>
    <w:rsid w:val="00774F0B"/>
    <w:rsid w:val="007861BA"/>
    <w:rsid w:val="007956B2"/>
    <w:rsid w:val="007A2559"/>
    <w:rsid w:val="007C22A2"/>
    <w:rsid w:val="007D4187"/>
    <w:rsid w:val="007D4FA3"/>
    <w:rsid w:val="007D7417"/>
    <w:rsid w:val="007E562E"/>
    <w:rsid w:val="008115BE"/>
    <w:rsid w:val="008452B3"/>
    <w:rsid w:val="00854BEF"/>
    <w:rsid w:val="008553C7"/>
    <w:rsid w:val="00872BC7"/>
    <w:rsid w:val="008866F0"/>
    <w:rsid w:val="008A3123"/>
    <w:rsid w:val="008A5F59"/>
    <w:rsid w:val="008B262D"/>
    <w:rsid w:val="008C5EDB"/>
    <w:rsid w:val="008D6499"/>
    <w:rsid w:val="008F613C"/>
    <w:rsid w:val="008F7780"/>
    <w:rsid w:val="0090150E"/>
    <w:rsid w:val="0090270C"/>
    <w:rsid w:val="00913CE8"/>
    <w:rsid w:val="009260A1"/>
    <w:rsid w:val="00940614"/>
    <w:rsid w:val="00950323"/>
    <w:rsid w:val="00950B7E"/>
    <w:rsid w:val="00954BD2"/>
    <w:rsid w:val="00956E71"/>
    <w:rsid w:val="00963AAF"/>
    <w:rsid w:val="00976A24"/>
    <w:rsid w:val="00990C09"/>
    <w:rsid w:val="00991572"/>
    <w:rsid w:val="009A158F"/>
    <w:rsid w:val="009A1C54"/>
    <w:rsid w:val="009B11BD"/>
    <w:rsid w:val="009E66C9"/>
    <w:rsid w:val="00A15EA1"/>
    <w:rsid w:val="00A16DEE"/>
    <w:rsid w:val="00A25808"/>
    <w:rsid w:val="00A31074"/>
    <w:rsid w:val="00A41224"/>
    <w:rsid w:val="00A43124"/>
    <w:rsid w:val="00A459A6"/>
    <w:rsid w:val="00A5125D"/>
    <w:rsid w:val="00A54E4F"/>
    <w:rsid w:val="00A5792A"/>
    <w:rsid w:val="00A965B2"/>
    <w:rsid w:val="00AB6FC9"/>
    <w:rsid w:val="00AC4C62"/>
    <w:rsid w:val="00AC5366"/>
    <w:rsid w:val="00AC54A7"/>
    <w:rsid w:val="00AF0F99"/>
    <w:rsid w:val="00AF1714"/>
    <w:rsid w:val="00B010E1"/>
    <w:rsid w:val="00B013CF"/>
    <w:rsid w:val="00B1178A"/>
    <w:rsid w:val="00B23BC8"/>
    <w:rsid w:val="00B33303"/>
    <w:rsid w:val="00B40BD4"/>
    <w:rsid w:val="00B83846"/>
    <w:rsid w:val="00B92463"/>
    <w:rsid w:val="00BA4402"/>
    <w:rsid w:val="00BC364C"/>
    <w:rsid w:val="00BC3B1C"/>
    <w:rsid w:val="00BF3D8E"/>
    <w:rsid w:val="00C03F6D"/>
    <w:rsid w:val="00C10945"/>
    <w:rsid w:val="00C16047"/>
    <w:rsid w:val="00C260ED"/>
    <w:rsid w:val="00CC2BE3"/>
    <w:rsid w:val="00CC47A9"/>
    <w:rsid w:val="00CD04D2"/>
    <w:rsid w:val="00CD50E3"/>
    <w:rsid w:val="00D1263C"/>
    <w:rsid w:val="00D129BE"/>
    <w:rsid w:val="00D225FA"/>
    <w:rsid w:val="00D3297C"/>
    <w:rsid w:val="00D34171"/>
    <w:rsid w:val="00D64379"/>
    <w:rsid w:val="00D75892"/>
    <w:rsid w:val="00D83F12"/>
    <w:rsid w:val="00D847E2"/>
    <w:rsid w:val="00DA30D3"/>
    <w:rsid w:val="00DB0087"/>
    <w:rsid w:val="00DC548E"/>
    <w:rsid w:val="00DD4965"/>
    <w:rsid w:val="00DE545F"/>
    <w:rsid w:val="00E07193"/>
    <w:rsid w:val="00E11A3F"/>
    <w:rsid w:val="00E16074"/>
    <w:rsid w:val="00E170BF"/>
    <w:rsid w:val="00E20D32"/>
    <w:rsid w:val="00E236B9"/>
    <w:rsid w:val="00E27420"/>
    <w:rsid w:val="00E34595"/>
    <w:rsid w:val="00E41914"/>
    <w:rsid w:val="00E513A5"/>
    <w:rsid w:val="00E67CCF"/>
    <w:rsid w:val="00E7406C"/>
    <w:rsid w:val="00E90AA3"/>
    <w:rsid w:val="00E91927"/>
    <w:rsid w:val="00EE2BEB"/>
    <w:rsid w:val="00EE5561"/>
    <w:rsid w:val="00EE60DE"/>
    <w:rsid w:val="00F02A5F"/>
    <w:rsid w:val="00F02FCB"/>
    <w:rsid w:val="00F05360"/>
    <w:rsid w:val="00F05A40"/>
    <w:rsid w:val="00F26C5E"/>
    <w:rsid w:val="00F26EB3"/>
    <w:rsid w:val="00F31BF8"/>
    <w:rsid w:val="00F42DFB"/>
    <w:rsid w:val="00F54E75"/>
    <w:rsid w:val="00F63322"/>
    <w:rsid w:val="00F77F52"/>
    <w:rsid w:val="00F946BC"/>
    <w:rsid w:val="00FB21F0"/>
    <w:rsid w:val="00FC0CC3"/>
    <w:rsid w:val="00FC73F5"/>
    <w:rsid w:val="00FD17A4"/>
    <w:rsid w:val="00FD3EF5"/>
    <w:rsid w:val="00FD65F5"/>
    <w:rsid w:val="00FE7291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4FCD"/>
  <w15:docId w15:val="{D69F918E-590B-4179-B7CC-DE0DD529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79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956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nhideWhenUsed/>
    <w:rsid w:val="007956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B2"/>
  </w:style>
  <w:style w:type="paragraph" w:styleId="Footer">
    <w:name w:val="footer"/>
    <w:basedOn w:val="Normal"/>
    <w:link w:val="FooterChar"/>
    <w:uiPriority w:val="99"/>
    <w:unhideWhenUsed/>
    <w:rsid w:val="00795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A1E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A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3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2DE7-0381-4407-A839-9C0BA441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Laima</cp:lastModifiedBy>
  <cp:revision>9</cp:revision>
  <cp:lastPrinted>2021-01-26T07:08:00Z</cp:lastPrinted>
  <dcterms:created xsi:type="dcterms:W3CDTF">2022-04-22T11:54:00Z</dcterms:created>
  <dcterms:modified xsi:type="dcterms:W3CDTF">2022-05-09T06:18:00Z</dcterms:modified>
</cp:coreProperties>
</file>